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A2DC6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A2DC6" w:rsidRDefault="0094188E" w:rsidP="007A2DC6">
      <w:pPr>
        <w:tabs>
          <w:tab w:val="left" w:pos="142"/>
        </w:tabs>
        <w:jc w:val="both"/>
        <w:rPr>
          <w:b/>
          <w:bCs/>
          <w:iCs/>
          <w:szCs w:val="24"/>
        </w:rPr>
      </w:pPr>
      <w:r w:rsidRPr="007A2DC6">
        <w:rPr>
          <w:color w:val="000000"/>
          <w:szCs w:val="24"/>
          <w:lang w:eastAsia="ar-SA"/>
        </w:rPr>
        <w:t>W związku z udziałem w postępowaniu o ud</w:t>
      </w:r>
      <w:r w:rsidR="007A2DC6">
        <w:rPr>
          <w:color w:val="000000"/>
          <w:szCs w:val="24"/>
          <w:lang w:eastAsia="ar-SA"/>
        </w:rPr>
        <w:t>zielenie zamówienia publicznego</w:t>
      </w:r>
      <w:bookmarkStart w:id="0" w:name="_GoBack"/>
      <w:bookmarkEnd w:id="0"/>
      <w:r w:rsidRPr="007A2DC6">
        <w:rPr>
          <w:color w:val="000000"/>
          <w:szCs w:val="24"/>
          <w:lang w:eastAsia="ar-SA"/>
        </w:rPr>
        <w:t xml:space="preserve"> </w:t>
      </w:r>
      <w:r w:rsidR="007A2DC6" w:rsidRPr="007A2DC6">
        <w:rPr>
          <w:szCs w:val="24"/>
          <w:lang w:eastAsia="x-none"/>
        </w:rPr>
        <w:t xml:space="preserve">na </w:t>
      </w:r>
      <w:r w:rsidR="007A2DC6" w:rsidRPr="007A2DC6">
        <w:rPr>
          <w:szCs w:val="24"/>
        </w:rPr>
        <w:t xml:space="preserve">robotę budowlaną pn. </w:t>
      </w:r>
      <w:r w:rsidR="007A2DC6" w:rsidRPr="007A2DC6">
        <w:rPr>
          <w:b/>
          <w:szCs w:val="24"/>
        </w:rPr>
        <w:t>„Przebudowa budynków na potrzeby PSG w m. Lesznowola – rozbiórkę budynków nr 4 i 5, wraz z zagospodarowaniem terenu w zakresie ciągów komunikacyjnych”</w:t>
      </w:r>
      <w:r w:rsidR="00655BF4" w:rsidRPr="007A2DC6">
        <w:rPr>
          <w:b/>
          <w:color w:val="000000"/>
          <w:szCs w:val="24"/>
          <w:lang w:eastAsia="ar-SA"/>
        </w:rPr>
        <w:t xml:space="preserve"> </w:t>
      </w:r>
      <w:r w:rsidR="002F7893" w:rsidRPr="007A2DC6">
        <w:rPr>
          <w:b/>
          <w:color w:val="000000"/>
          <w:szCs w:val="24"/>
          <w:lang w:eastAsia="ar-SA"/>
        </w:rPr>
        <w:t xml:space="preserve">– sprawa nr </w:t>
      </w:r>
      <w:r w:rsidR="007A2DC6" w:rsidRPr="007A2DC6">
        <w:rPr>
          <w:b/>
          <w:color w:val="000000"/>
          <w:szCs w:val="24"/>
          <w:lang w:eastAsia="ar-SA"/>
        </w:rPr>
        <w:t>23</w:t>
      </w:r>
      <w:r w:rsidR="00B541CC" w:rsidRPr="007A2DC6">
        <w:rPr>
          <w:b/>
          <w:color w:val="000000"/>
          <w:szCs w:val="24"/>
          <w:lang w:eastAsia="ar-SA"/>
        </w:rPr>
        <w:t>/FI/AG/18</w:t>
      </w:r>
      <w:r w:rsidR="00535C09" w:rsidRPr="007A2DC6">
        <w:rPr>
          <w:b/>
          <w:color w:val="000000"/>
          <w:szCs w:val="24"/>
          <w:lang w:eastAsia="ar-SA"/>
        </w:rPr>
        <w:t>,</w:t>
      </w:r>
      <w:r w:rsidR="00B541CC" w:rsidRPr="007A2DC6">
        <w:rPr>
          <w:b/>
          <w:color w:val="000000"/>
          <w:szCs w:val="24"/>
          <w:lang w:eastAsia="ar-SA"/>
        </w:rPr>
        <w:t xml:space="preserve"> </w:t>
      </w:r>
      <w:r w:rsidR="002F7893" w:rsidRPr="007A2DC6">
        <w:rPr>
          <w:color w:val="000000"/>
          <w:szCs w:val="24"/>
          <w:lang w:eastAsia="ar-SA"/>
        </w:rPr>
        <w:t>po zapoznaniu się z </w:t>
      </w:r>
      <w:r w:rsidRPr="007A2DC6">
        <w:rPr>
          <w:color w:val="000000"/>
          <w:szCs w:val="24"/>
          <w:lang w:eastAsia="ar-SA"/>
        </w:rPr>
        <w:t>informacją, o której mowa w art. </w:t>
      </w:r>
      <w:r w:rsidR="0080471E" w:rsidRPr="007A2DC6">
        <w:rPr>
          <w:color w:val="000000"/>
          <w:szCs w:val="24"/>
          <w:lang w:eastAsia="ar-SA"/>
        </w:rPr>
        <w:t>86</w:t>
      </w:r>
      <w:r w:rsidR="001E7888" w:rsidRPr="007A2DC6">
        <w:rPr>
          <w:color w:val="000000"/>
          <w:szCs w:val="24"/>
          <w:lang w:eastAsia="ar-SA"/>
        </w:rPr>
        <w:t xml:space="preserve"> ust. </w:t>
      </w:r>
      <w:r w:rsidR="0080471E" w:rsidRPr="007A2DC6">
        <w:rPr>
          <w:color w:val="000000"/>
          <w:szCs w:val="24"/>
          <w:lang w:eastAsia="ar-SA"/>
        </w:rPr>
        <w:t>5</w:t>
      </w:r>
      <w:r w:rsidR="001E7888" w:rsidRPr="007A2DC6">
        <w:rPr>
          <w:color w:val="000000"/>
          <w:szCs w:val="24"/>
          <w:lang w:eastAsia="ar-SA"/>
        </w:rPr>
        <w:t xml:space="preserve"> usta</w:t>
      </w:r>
      <w:r w:rsidRPr="007A2DC6">
        <w:rPr>
          <w:color w:val="000000"/>
          <w:szCs w:val="24"/>
          <w:lang w:eastAsia="ar-SA"/>
        </w:rPr>
        <w:t xml:space="preserve">wy Prawo zamówień publicznych, </w:t>
      </w:r>
      <w:r w:rsidR="0080471E" w:rsidRPr="007A2DC6">
        <w:rPr>
          <w:color w:val="000000"/>
          <w:szCs w:val="24"/>
          <w:lang w:eastAsia="ar-SA"/>
        </w:rPr>
        <w:t>zamieszczoną</w:t>
      </w:r>
      <w:r w:rsidR="0080471E">
        <w:rPr>
          <w:color w:val="000000"/>
          <w:lang w:eastAsia="ar-SA"/>
        </w:rPr>
        <w:t xml:space="preserve"> na stronie internetowej Zam</w:t>
      </w:r>
      <w:r w:rsidR="001E7888" w:rsidRPr="007B5CBF">
        <w:rPr>
          <w:color w:val="000000"/>
          <w:lang w:eastAsia="ar-SA"/>
        </w:rPr>
        <w:t xml:space="preserve">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AD" w:rsidRDefault="00CF53AD">
      <w:r>
        <w:separator/>
      </w:r>
    </w:p>
  </w:endnote>
  <w:endnote w:type="continuationSeparator" w:id="0">
    <w:p w:rsidR="00CF53AD" w:rsidRDefault="00CF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AD" w:rsidRDefault="00CF53AD">
      <w:r>
        <w:separator/>
      </w:r>
    </w:p>
  </w:footnote>
  <w:footnote w:type="continuationSeparator" w:id="0">
    <w:p w:rsidR="00CF53AD" w:rsidRDefault="00CF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1E7888"/>
    <w:rsid w:val="00241C5C"/>
    <w:rsid w:val="002F7893"/>
    <w:rsid w:val="00300BDA"/>
    <w:rsid w:val="00346762"/>
    <w:rsid w:val="003A43DE"/>
    <w:rsid w:val="003C1622"/>
    <w:rsid w:val="00535C09"/>
    <w:rsid w:val="00655BF4"/>
    <w:rsid w:val="007A2DC6"/>
    <w:rsid w:val="007B5CBF"/>
    <w:rsid w:val="0080471E"/>
    <w:rsid w:val="0081536C"/>
    <w:rsid w:val="008B12B8"/>
    <w:rsid w:val="0094188E"/>
    <w:rsid w:val="009F3D84"/>
    <w:rsid w:val="00AD47DC"/>
    <w:rsid w:val="00B27D4D"/>
    <w:rsid w:val="00B541CC"/>
    <w:rsid w:val="00CE48D1"/>
    <w:rsid w:val="00CF53AD"/>
    <w:rsid w:val="00D42239"/>
    <w:rsid w:val="00D56730"/>
    <w:rsid w:val="00DC6F68"/>
    <w:rsid w:val="00E81CD3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EB0-9978-4A33-A37E-5CBA41D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14</cp:revision>
  <dcterms:created xsi:type="dcterms:W3CDTF">2017-12-15T12:50:00Z</dcterms:created>
  <dcterms:modified xsi:type="dcterms:W3CDTF">2018-09-27T09:00:00Z</dcterms:modified>
</cp:coreProperties>
</file>